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BE" w:rsidRDefault="0048777D">
      <w:r w:rsidRPr="0048777D">
        <w:drawing>
          <wp:inline distT="0" distB="0" distL="0" distR="0">
            <wp:extent cx="4867275" cy="2940050"/>
            <wp:effectExtent l="19050" t="0" r="9525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732BE" w:rsidSect="00A732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48777D"/>
    <w:rsid w:val="00023201"/>
    <w:rsid w:val="00067DCF"/>
    <w:rsid w:val="00221FAD"/>
    <w:rsid w:val="0048777D"/>
    <w:rsid w:val="0051474C"/>
    <w:rsid w:val="00575585"/>
    <w:rsid w:val="00A732BE"/>
    <w:rsid w:val="00C522AD"/>
    <w:rsid w:val="00CF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CA" w:eastAsia="en-US" w:bidi="ar-SA"/>
      </w:rPr>
    </w:rPrDefault>
    <w:pPrDefault>
      <w:pPr>
        <w:ind w:left="143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AD"/>
    <w:pPr>
      <w:ind w:left="0" w:firstLine="0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77D"/>
    <w:rPr>
      <w:rFonts w:ascii="Tahoma" w:hAnsi="Tahoma" w:cs="Tahoma"/>
      <w:sz w:val="16"/>
      <w:szCs w:val="16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ra.utk.tennessee.edu\depts$\Vol06\VC%20Student%20Affairs\RecSport\Student%20Assistants\Risk%20Management\Content\Emergrency%20Response%20Drill%20Poster.edited.4.12.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CA"/>
  <c:chart>
    <c:title>
      <c:tx>
        <c:rich>
          <a:bodyPr/>
          <a:lstStyle/>
          <a:p>
            <a:pPr>
              <a:defRPr/>
            </a:pPr>
            <a:r>
              <a:rPr lang="en-US"/>
              <a:t>Confidence</a:t>
            </a:r>
            <a:r>
              <a:rPr lang="en-US" baseline="0"/>
              <a:t> Level Over Time</a:t>
            </a:r>
            <a:endParaRPr lang="en-US"/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tx>
            <c:strRef>
              <c:f>Longitudinal!$A$21</c:f>
              <c:strCache>
                <c:ptCount val="1"/>
                <c:pt idx="0">
                  <c:v>Finding the Nearest AED</c:v>
                </c:pt>
              </c:strCache>
            </c:strRef>
          </c:tx>
          <c:marker>
            <c:symbol val="none"/>
          </c:marker>
          <c:cat>
            <c:strRef>
              <c:f>Longitudinal!$B$3:$G$3</c:f>
              <c:strCache>
                <c:ptCount val="6"/>
                <c:pt idx="0">
                  <c:v>Fall 2009 Pre-Test</c:v>
                </c:pt>
                <c:pt idx="1">
                  <c:v>Fall 2009 Post-Test</c:v>
                </c:pt>
                <c:pt idx="2">
                  <c:v>Fall 2010 Pre-Test</c:v>
                </c:pt>
                <c:pt idx="3">
                  <c:v>Fall 2010 Post-Test</c:v>
                </c:pt>
                <c:pt idx="4">
                  <c:v>Spring 2010 Pre-Test</c:v>
                </c:pt>
                <c:pt idx="5">
                  <c:v>Spring 2010 Post-Test</c:v>
                </c:pt>
              </c:strCache>
            </c:strRef>
          </c:cat>
          <c:val>
            <c:numRef>
              <c:f>Longitudinal!$B$21:$G$21</c:f>
              <c:numCache>
                <c:formatCode>General</c:formatCode>
                <c:ptCount val="6"/>
                <c:pt idx="0">
                  <c:v>95.714000000000027</c:v>
                </c:pt>
                <c:pt idx="1">
                  <c:v>98.75</c:v>
                </c:pt>
                <c:pt idx="2">
                  <c:v>96.667000000000002</c:v>
                </c:pt>
                <c:pt idx="3">
                  <c:v>100</c:v>
                </c:pt>
                <c:pt idx="4">
                  <c:v>98.570999999999998</c:v>
                </c:pt>
                <c:pt idx="5">
                  <c:v>96.25</c:v>
                </c:pt>
              </c:numCache>
            </c:numRef>
          </c:val>
        </c:ser>
        <c:ser>
          <c:idx val="1"/>
          <c:order val="1"/>
          <c:tx>
            <c:strRef>
              <c:f>Longitudinal!$A$46</c:f>
              <c:strCache>
                <c:ptCount val="1"/>
                <c:pt idx="0">
                  <c:v>CPR - Unconscious Adult</c:v>
                </c:pt>
              </c:strCache>
            </c:strRef>
          </c:tx>
          <c:marker>
            <c:symbol val="none"/>
          </c:marker>
          <c:cat>
            <c:strRef>
              <c:f>Longitudinal!$B$3:$G$3</c:f>
              <c:strCache>
                <c:ptCount val="6"/>
                <c:pt idx="0">
                  <c:v>Fall 2009 Pre-Test</c:v>
                </c:pt>
                <c:pt idx="1">
                  <c:v>Fall 2009 Post-Test</c:v>
                </c:pt>
                <c:pt idx="2">
                  <c:v>Fall 2010 Pre-Test</c:v>
                </c:pt>
                <c:pt idx="3">
                  <c:v>Fall 2010 Post-Test</c:v>
                </c:pt>
                <c:pt idx="4">
                  <c:v>Spring 2010 Pre-Test</c:v>
                </c:pt>
                <c:pt idx="5">
                  <c:v>Spring 2010 Post-Test</c:v>
                </c:pt>
              </c:strCache>
            </c:strRef>
          </c:cat>
          <c:val>
            <c:numRef>
              <c:f>Longitudinal!$B$46:$G$46</c:f>
              <c:numCache>
                <c:formatCode>General</c:formatCode>
                <c:ptCount val="6"/>
                <c:pt idx="0">
                  <c:v>88.571999999999989</c:v>
                </c:pt>
                <c:pt idx="1">
                  <c:v>88.75</c:v>
                </c:pt>
                <c:pt idx="2">
                  <c:v>83.332999999999998</c:v>
                </c:pt>
                <c:pt idx="3">
                  <c:v>89.998999999999995</c:v>
                </c:pt>
                <c:pt idx="4">
                  <c:v>85.714000000000027</c:v>
                </c:pt>
                <c:pt idx="5">
                  <c:v>91.25</c:v>
                </c:pt>
              </c:numCache>
            </c:numRef>
          </c:val>
        </c:ser>
        <c:ser>
          <c:idx val="2"/>
          <c:order val="2"/>
          <c:tx>
            <c:strRef>
              <c:f>Longitudinal!$A$71</c:f>
              <c:strCache>
                <c:ptCount val="1"/>
                <c:pt idx="0">
                  <c:v>Giving Directions to Scene</c:v>
                </c:pt>
              </c:strCache>
            </c:strRef>
          </c:tx>
          <c:marker>
            <c:symbol val="none"/>
          </c:marker>
          <c:cat>
            <c:strRef>
              <c:f>Longitudinal!$B$3:$G$3</c:f>
              <c:strCache>
                <c:ptCount val="6"/>
                <c:pt idx="0">
                  <c:v>Fall 2009 Pre-Test</c:v>
                </c:pt>
                <c:pt idx="1">
                  <c:v>Fall 2009 Post-Test</c:v>
                </c:pt>
                <c:pt idx="2">
                  <c:v>Fall 2010 Pre-Test</c:v>
                </c:pt>
                <c:pt idx="3">
                  <c:v>Fall 2010 Post-Test</c:v>
                </c:pt>
                <c:pt idx="4">
                  <c:v>Spring 2010 Pre-Test</c:v>
                </c:pt>
                <c:pt idx="5">
                  <c:v>Spring 2010 Post-Test</c:v>
                </c:pt>
              </c:strCache>
            </c:strRef>
          </c:cat>
          <c:val>
            <c:numRef>
              <c:f>Longitudinal!$B$71:$G$71</c:f>
              <c:numCache>
                <c:formatCode>General</c:formatCode>
                <c:ptCount val="6"/>
                <c:pt idx="0">
                  <c:v>82.85599999999998</c:v>
                </c:pt>
                <c:pt idx="1">
                  <c:v>90</c:v>
                </c:pt>
                <c:pt idx="2">
                  <c:v>85</c:v>
                </c:pt>
                <c:pt idx="3">
                  <c:v>93.332999999999998</c:v>
                </c:pt>
                <c:pt idx="4">
                  <c:v>87.149999999999991</c:v>
                </c:pt>
                <c:pt idx="5">
                  <c:v>92.5</c:v>
                </c:pt>
              </c:numCache>
            </c:numRef>
          </c:val>
        </c:ser>
        <c:marker val="1"/>
        <c:axId val="129328640"/>
        <c:axId val="129330176"/>
      </c:lineChart>
      <c:catAx>
        <c:axId val="129328640"/>
        <c:scaling>
          <c:orientation val="minMax"/>
        </c:scaling>
        <c:axPos val="b"/>
        <c:numFmt formatCode="General" sourceLinked="1"/>
        <c:tickLblPos val="nextTo"/>
        <c:crossAx val="129330176"/>
        <c:crosses val="autoZero"/>
        <c:auto val="1"/>
        <c:lblAlgn val="ctr"/>
        <c:lblOffset val="100"/>
      </c:catAx>
      <c:valAx>
        <c:axId val="129330176"/>
        <c:scaling>
          <c:orientation val="minMax"/>
          <c:max val="100"/>
          <c:min val="80"/>
        </c:scaling>
        <c:axPos val="l"/>
        <c:majorGridlines/>
        <c:numFmt formatCode="General" sourceLinked="1"/>
        <c:tickLblPos val="nextTo"/>
        <c:crossAx val="1293286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0.00527</cdr:x>
      <cdr:y>0.07047</cdr:y>
    </cdr:from>
    <cdr:to>
      <cdr:x>0.06348</cdr:x>
      <cdr:y>0.50076</cdr:y>
    </cdr:to>
    <cdr:sp macro="" textlink="">
      <cdr:nvSpPr>
        <cdr:cNvPr id="2" name="TextBox 1"/>
        <cdr:cNvSpPr txBox="1"/>
      </cdr:nvSpPr>
      <cdr:spPr>
        <a:xfrm xmlns:a="http://schemas.openxmlformats.org/drawingml/2006/main" rot="-5400000">
          <a:off x="-453513" y="677646"/>
          <a:ext cx="1221351" cy="2661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Confidence Level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1</cp:revision>
  <dcterms:created xsi:type="dcterms:W3CDTF">2011-12-08T20:16:00Z</dcterms:created>
  <dcterms:modified xsi:type="dcterms:W3CDTF">2011-12-08T20:16:00Z</dcterms:modified>
</cp:coreProperties>
</file>